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77777777" w:rsidR="009240F1" w:rsidRDefault="0004294E" w:rsidP="00E766A0">
      <w:pPr>
        <w:spacing w:before="360" w:after="240"/>
      </w:pPr>
      <w:r w:rsidRPr="00F60346">
        <w:rPr>
          <w:b/>
          <w:caps/>
          <w:u w:val="single"/>
        </w:rPr>
        <w:t>Justification</w:t>
      </w:r>
      <w:r w:rsidR="000621DD">
        <w:rPr>
          <w:b/>
          <w:caps/>
          <w:u w:val="single"/>
        </w:rPr>
        <w:t xml:space="preserve"> for change</w:t>
      </w:r>
      <w:r w:rsidRPr="00F60346">
        <w:t>:</w:t>
      </w:r>
      <w:r w:rsidR="000621DD">
        <w:t xml:space="preserve">  </w:t>
      </w:r>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56874CF3" w14:textId="2AA678B3" w:rsidR="00D37213" w:rsidRDefault="000A3676" w:rsidP="00102DF0">
      <w:pPr>
        <w:spacing w:before="240" w:after="240"/>
      </w:pPr>
      <w:r>
        <w:t xml:space="preserve">Attached is a white paper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headgates or emergency operating headgates.  </w:t>
      </w:r>
    </w:p>
    <w:p w14:paraId="59CF74FB" w14:textId="78F04B0F" w:rsidR="004E027B" w:rsidRDefault="004E027B" w:rsidP="00102DF0">
      <w:pPr>
        <w:spacing w:before="240"/>
      </w:pPr>
      <w:r>
        <w:t>USACE-NWW proposes to replace the telescoping cylinders with single stage cylinders because of lower replacement cost and reduced number of seals, thus providing a benefit to fish with reduced risk for oil spills.  In addition, this approach improves the reliability to maintain project operations which allows for unit prioritizations that optimize passage for adult attraction and juvenile egress.  Single stage cylinders would require the operating gates be in the SOG or original stored position. The effects on FGE are discussed in the accompanying white paper.</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340591DF" w14:textId="77777777" w:rsidR="009240F1" w:rsidRDefault="009240F1" w:rsidP="009240F1">
      <w:pPr>
        <w:spacing w:before="24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1"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1"/>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2" w:author="G0PDWLSW" w:date="2020-07-07T16:13:00Z"/>
          <w:b/>
          <w:bCs/>
        </w:rPr>
      </w:pPr>
      <w:ins w:id="3"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77777777" w:rsidR="00DE032F" w:rsidRDefault="00DE032F" w:rsidP="00331329">
      <w:pPr>
        <w:spacing w:after="120"/>
      </w:pPr>
      <w:r>
        <w:rPr>
          <w:u w:val="single"/>
        </w:rPr>
        <w:t xml:space="preserve">July 9, </w:t>
      </w:r>
      <w:r w:rsidRPr="00DE032F">
        <w:rPr>
          <w:u w:val="single"/>
        </w:rPr>
        <w:t xml:space="preserve">2020 </w:t>
      </w:r>
      <w:r>
        <w:rPr>
          <w:u w:val="single"/>
        </w:rPr>
        <w:t xml:space="preserve">– FPOM </w:t>
      </w:r>
      <w:r w:rsidRPr="00DE032F">
        <w:rPr>
          <w:u w:val="single"/>
        </w:rPr>
        <w:t>meeting</w:t>
      </w:r>
      <w:r>
        <w:t xml:space="preserve">:  </w:t>
      </w:r>
    </w:p>
    <w:p w14:paraId="413401A1" w14:textId="3786A7FB" w:rsidR="00F91DC5" w:rsidRPr="00F91DC5" w:rsidRDefault="00F91DC5" w:rsidP="002640DF">
      <w:pPr>
        <w:pStyle w:val="ListParagraph"/>
        <w:numPr>
          <w:ilvl w:val="0"/>
          <w:numId w:val="34"/>
        </w:numPr>
        <w:spacing w:after="120"/>
        <w:contextualSpacing w:val="0"/>
        <w:rPr>
          <w:sz w:val="22"/>
          <w:szCs w:val="22"/>
        </w:rPr>
      </w:pPr>
      <w:r w:rsidRPr="00F91DC5">
        <w:rPr>
          <w:sz w:val="22"/>
          <w:szCs w:val="22"/>
        </w:rPr>
        <w:t xml:space="preserve">Thompson was not present at the meeting so Conder can’t make a decision. </w:t>
      </w:r>
      <w:r>
        <w:rPr>
          <w:sz w:val="22"/>
          <w:szCs w:val="22"/>
        </w:rPr>
        <w:t>He</w:t>
      </w:r>
      <w:r w:rsidRPr="00F91DC5">
        <w:rPr>
          <w:sz w:val="22"/>
          <w:szCs w:val="22"/>
        </w:rPr>
        <w:t xml:space="preserve"> asked what the timeline is. Anderson </w:t>
      </w:r>
      <w:r w:rsidR="00331329">
        <w:rPr>
          <w:sz w:val="22"/>
          <w:szCs w:val="22"/>
        </w:rPr>
        <w:t>replied</w:t>
      </w:r>
      <w:r w:rsidRPr="00F91DC5">
        <w:rPr>
          <w:sz w:val="22"/>
          <w:szCs w:val="22"/>
        </w:rPr>
        <w:t xml:space="preserve"> they </w:t>
      </w:r>
      <w:r>
        <w:rPr>
          <w:sz w:val="22"/>
          <w:szCs w:val="22"/>
        </w:rPr>
        <w:t xml:space="preserve">would like </w:t>
      </w:r>
      <w:r w:rsidRPr="00F91DC5">
        <w:rPr>
          <w:sz w:val="22"/>
          <w:szCs w:val="22"/>
        </w:rPr>
        <w:t xml:space="preserve">a decision before December. He will discuss the timeline with the PDT and can revisit next month. </w:t>
      </w:r>
    </w:p>
    <w:p w14:paraId="531E7BB4" w14:textId="032F60EC"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noted</w:t>
      </w:r>
      <w:r w:rsidRPr="00F91DC5">
        <w:rPr>
          <w:sz w:val="22"/>
          <w:szCs w:val="22"/>
        </w:rPr>
        <w:t xml:space="preserve"> there was a</w:t>
      </w:r>
      <w:r w:rsidR="002640DF" w:rsidRPr="00F91DC5">
        <w:rPr>
          <w:sz w:val="22"/>
          <w:szCs w:val="22"/>
        </w:rPr>
        <w:t>n FGE</w:t>
      </w:r>
      <w:r w:rsidRPr="00F91DC5">
        <w:rPr>
          <w:sz w:val="22"/>
          <w:szCs w:val="22"/>
        </w:rPr>
        <w:t xml:space="preserve"> difference observed in </w:t>
      </w:r>
      <w:r w:rsidR="002640DF" w:rsidRPr="00F91DC5">
        <w:rPr>
          <w:sz w:val="22"/>
          <w:szCs w:val="22"/>
        </w:rPr>
        <w:t>older studies (</w:t>
      </w:r>
      <w:r w:rsidRPr="00F91DC5">
        <w:rPr>
          <w:sz w:val="22"/>
          <w:szCs w:val="22"/>
        </w:rPr>
        <w:t>80s and 90s</w:t>
      </w:r>
      <w:r w:rsidR="002640DF" w:rsidRPr="00F91DC5">
        <w:rPr>
          <w:sz w:val="22"/>
          <w:szCs w:val="22"/>
        </w:rPr>
        <w:t>)</w:t>
      </w:r>
      <w:r w:rsidR="0051425D" w:rsidRPr="00F91DC5">
        <w:rPr>
          <w:sz w:val="22"/>
          <w:szCs w:val="22"/>
        </w:rPr>
        <w:t>;</w:t>
      </w:r>
      <w:r w:rsidRPr="00F91DC5">
        <w:rPr>
          <w:sz w:val="22"/>
          <w:szCs w:val="22"/>
        </w:rPr>
        <w:t xml:space="preserve"> that’s why </w:t>
      </w:r>
      <w:r w:rsidR="002640DF" w:rsidRPr="00F91DC5">
        <w:rPr>
          <w:sz w:val="22"/>
          <w:szCs w:val="22"/>
        </w:rPr>
        <w:t>the C</w:t>
      </w:r>
      <w:r w:rsidRPr="00F91DC5">
        <w:rPr>
          <w:sz w:val="22"/>
          <w:szCs w:val="22"/>
        </w:rPr>
        <w:t xml:space="preserve">orps invested in raised gates. </w:t>
      </w:r>
      <w:r w:rsidR="00EA4935" w:rsidRPr="00F91DC5">
        <w:rPr>
          <w:sz w:val="22"/>
          <w:szCs w:val="22"/>
        </w:rPr>
        <w:t>Why the different results now?</w:t>
      </w:r>
    </w:p>
    <w:p w14:paraId="4CB6FCBC" w14:textId="792935AD"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Lorz </w:t>
      </w:r>
      <w:r w:rsidR="0051425D" w:rsidRPr="00F91DC5">
        <w:rPr>
          <w:sz w:val="22"/>
          <w:szCs w:val="22"/>
        </w:rPr>
        <w:t>recalled</w:t>
      </w:r>
      <w:r w:rsidRPr="00F91DC5">
        <w:rPr>
          <w:sz w:val="22"/>
          <w:szCs w:val="22"/>
        </w:rPr>
        <w:t xml:space="preserve"> </w:t>
      </w:r>
      <w:r w:rsidR="004C5DAF" w:rsidRPr="00F91DC5">
        <w:rPr>
          <w:sz w:val="22"/>
          <w:szCs w:val="22"/>
        </w:rPr>
        <w:t xml:space="preserve">there was an </w:t>
      </w:r>
      <w:r w:rsidRPr="00F91DC5">
        <w:rPr>
          <w:sz w:val="22"/>
          <w:szCs w:val="22"/>
        </w:rPr>
        <w:t xml:space="preserve">acoustic study </w:t>
      </w:r>
      <w:r w:rsidR="004C5DAF" w:rsidRPr="00F91DC5">
        <w:rPr>
          <w:sz w:val="22"/>
          <w:szCs w:val="22"/>
        </w:rPr>
        <w:t>that showed a</w:t>
      </w:r>
      <w:r w:rsidRPr="00F91DC5">
        <w:rPr>
          <w:sz w:val="22"/>
          <w:szCs w:val="22"/>
        </w:rPr>
        <w:t xml:space="preserve"> difference </w:t>
      </w:r>
      <w:r w:rsidR="002640DF" w:rsidRPr="00F91DC5">
        <w:rPr>
          <w:sz w:val="22"/>
          <w:szCs w:val="22"/>
        </w:rPr>
        <w:t>for</w:t>
      </w:r>
      <w:r w:rsidRPr="00F91DC5">
        <w:rPr>
          <w:sz w:val="22"/>
          <w:szCs w:val="22"/>
        </w:rPr>
        <w:t xml:space="preserve"> subyearlings. </w:t>
      </w:r>
    </w:p>
    <w:p w14:paraId="5BBEC8DD" w14:textId="610A18C2"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recalled </w:t>
      </w:r>
      <w:r w:rsidR="004C5DAF" w:rsidRPr="00F91DC5">
        <w:rPr>
          <w:sz w:val="22"/>
          <w:szCs w:val="22"/>
        </w:rPr>
        <w:t xml:space="preserve">a study that showed a point benefit with </w:t>
      </w:r>
      <w:r w:rsidRPr="00F91DC5">
        <w:rPr>
          <w:sz w:val="22"/>
          <w:szCs w:val="22"/>
        </w:rPr>
        <w:t xml:space="preserve">raised </w:t>
      </w:r>
      <w:r w:rsidR="002640DF" w:rsidRPr="00F91DC5">
        <w:rPr>
          <w:sz w:val="22"/>
          <w:szCs w:val="22"/>
        </w:rPr>
        <w:t xml:space="preserve">gates </w:t>
      </w:r>
      <w:r w:rsidRPr="00F91DC5">
        <w:rPr>
          <w:sz w:val="22"/>
          <w:szCs w:val="22"/>
        </w:rPr>
        <w:t xml:space="preserve">as conditions got warmer. But Ham et al showed no difference. </w:t>
      </w:r>
    </w:p>
    <w:p w14:paraId="24AD0509" w14:textId="46C2F952" w:rsidR="0049408D"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Anderson </w:t>
      </w:r>
      <w:r w:rsidR="0051425D" w:rsidRPr="00F91DC5">
        <w:rPr>
          <w:sz w:val="22"/>
          <w:szCs w:val="22"/>
        </w:rPr>
        <w:t>replied that</w:t>
      </w:r>
      <w:r w:rsidRPr="00F91DC5">
        <w:rPr>
          <w:sz w:val="22"/>
          <w:szCs w:val="22"/>
        </w:rPr>
        <w:t xml:space="preserve"> </w:t>
      </w:r>
      <w:r w:rsidR="00BA5025" w:rsidRPr="00F91DC5">
        <w:rPr>
          <w:sz w:val="22"/>
          <w:szCs w:val="22"/>
        </w:rPr>
        <w:t>the s</w:t>
      </w:r>
      <w:r w:rsidRPr="00F91DC5">
        <w:rPr>
          <w:sz w:val="22"/>
          <w:szCs w:val="22"/>
        </w:rPr>
        <w:t xml:space="preserve">tudies in 80s and 90s used nets in </w:t>
      </w:r>
      <w:r w:rsidR="004F7C63" w:rsidRPr="00F91DC5">
        <w:rPr>
          <w:sz w:val="22"/>
          <w:szCs w:val="22"/>
        </w:rPr>
        <w:t xml:space="preserve">the </w:t>
      </w:r>
      <w:r w:rsidRPr="00F91DC5">
        <w:rPr>
          <w:sz w:val="22"/>
          <w:szCs w:val="22"/>
        </w:rPr>
        <w:t>operating gate slot to capture fish in the evening. Not comparable to improved method</w:t>
      </w:r>
      <w:r w:rsidR="004C5DAF" w:rsidRPr="00F91DC5">
        <w:rPr>
          <w:sz w:val="22"/>
          <w:szCs w:val="22"/>
        </w:rPr>
        <w:t>ology</w:t>
      </w:r>
      <w:r w:rsidRPr="00F91DC5">
        <w:rPr>
          <w:sz w:val="22"/>
          <w:szCs w:val="22"/>
        </w:rPr>
        <w:t xml:space="preserve"> of </w:t>
      </w:r>
      <w:r w:rsidR="00FD0799" w:rsidRPr="00F91DC5">
        <w:rPr>
          <w:sz w:val="22"/>
          <w:szCs w:val="22"/>
        </w:rPr>
        <w:t xml:space="preserve">current </w:t>
      </w:r>
      <w:r w:rsidRPr="00F91DC5">
        <w:rPr>
          <w:sz w:val="22"/>
          <w:szCs w:val="22"/>
        </w:rPr>
        <w:t xml:space="preserve">studies with split beam hydroacoustics, so </w:t>
      </w:r>
      <w:r w:rsidR="00FD0799" w:rsidRPr="00F91DC5">
        <w:rPr>
          <w:sz w:val="22"/>
          <w:szCs w:val="22"/>
        </w:rPr>
        <w:t>recent</w:t>
      </w:r>
      <w:r w:rsidR="002640DF" w:rsidRPr="00F91DC5">
        <w:rPr>
          <w:sz w:val="22"/>
          <w:szCs w:val="22"/>
        </w:rPr>
        <w:t xml:space="preserve"> </w:t>
      </w:r>
      <w:r w:rsidRPr="00F91DC5">
        <w:rPr>
          <w:sz w:val="22"/>
          <w:szCs w:val="22"/>
        </w:rPr>
        <w:t xml:space="preserve">results </w:t>
      </w:r>
      <w:r w:rsidR="002640DF" w:rsidRPr="00F91DC5">
        <w:rPr>
          <w:sz w:val="22"/>
          <w:szCs w:val="22"/>
        </w:rPr>
        <w:t xml:space="preserve">are </w:t>
      </w:r>
      <w:r w:rsidRPr="00F91DC5">
        <w:rPr>
          <w:sz w:val="22"/>
          <w:szCs w:val="22"/>
        </w:rPr>
        <w:t xml:space="preserve">more reliable. Can’t recall </w:t>
      </w:r>
      <w:r w:rsidR="002640DF" w:rsidRPr="00F91DC5">
        <w:rPr>
          <w:sz w:val="22"/>
          <w:szCs w:val="22"/>
        </w:rPr>
        <w:t xml:space="preserve">a study </w:t>
      </w:r>
      <w:r w:rsidR="00BA5025" w:rsidRPr="00F91DC5">
        <w:rPr>
          <w:sz w:val="22"/>
          <w:szCs w:val="22"/>
        </w:rPr>
        <w:t>that showed</w:t>
      </w:r>
      <w:r w:rsidR="002640DF" w:rsidRPr="00F91DC5">
        <w:rPr>
          <w:sz w:val="22"/>
          <w:szCs w:val="22"/>
        </w:rPr>
        <w:t xml:space="preserve"> a </w:t>
      </w:r>
      <w:r w:rsidRPr="00F91DC5">
        <w:rPr>
          <w:sz w:val="22"/>
          <w:szCs w:val="22"/>
        </w:rPr>
        <w:t xml:space="preserve">point benefit in summer. </w:t>
      </w:r>
    </w:p>
    <w:p w14:paraId="511A90E8" w14:textId="1A927D8D" w:rsidR="00310EEC"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had a</w:t>
      </w:r>
      <w:r w:rsidRPr="00F91DC5">
        <w:rPr>
          <w:sz w:val="22"/>
          <w:szCs w:val="22"/>
        </w:rPr>
        <w:t xml:space="preserve"> </w:t>
      </w:r>
      <w:r w:rsidR="0049408D" w:rsidRPr="00F91DC5">
        <w:rPr>
          <w:sz w:val="22"/>
          <w:szCs w:val="22"/>
        </w:rPr>
        <w:t xml:space="preserve">hard time reconciling </w:t>
      </w:r>
      <w:r w:rsidR="004F7C63" w:rsidRPr="00F91DC5">
        <w:rPr>
          <w:sz w:val="22"/>
          <w:szCs w:val="22"/>
        </w:rPr>
        <w:t xml:space="preserve">results from </w:t>
      </w:r>
      <w:r w:rsidR="0049408D" w:rsidRPr="00F91DC5">
        <w:rPr>
          <w:sz w:val="22"/>
          <w:szCs w:val="22"/>
        </w:rPr>
        <w:t xml:space="preserve">Ledgerwood </w:t>
      </w:r>
      <w:r w:rsidR="004F7C63" w:rsidRPr="00F91DC5">
        <w:rPr>
          <w:sz w:val="22"/>
          <w:szCs w:val="22"/>
        </w:rPr>
        <w:t>that showed</w:t>
      </w:r>
      <w:r w:rsidR="0049408D" w:rsidRPr="00F91DC5">
        <w:rPr>
          <w:sz w:val="22"/>
          <w:szCs w:val="22"/>
        </w:rPr>
        <w:t xml:space="preserve"> significantly better FGE </w:t>
      </w:r>
      <w:r w:rsidR="00EA4935" w:rsidRPr="00F91DC5">
        <w:rPr>
          <w:sz w:val="22"/>
          <w:szCs w:val="22"/>
        </w:rPr>
        <w:t>with</w:t>
      </w:r>
      <w:r w:rsidR="0049408D" w:rsidRPr="00F91DC5">
        <w:rPr>
          <w:sz w:val="22"/>
          <w:szCs w:val="22"/>
        </w:rPr>
        <w:t xml:space="preserve"> raised</w:t>
      </w:r>
      <w:r w:rsidR="00EA4935" w:rsidRPr="00F91DC5">
        <w:rPr>
          <w:sz w:val="22"/>
          <w:szCs w:val="22"/>
        </w:rPr>
        <w:t xml:space="preserve"> gates</w:t>
      </w:r>
      <w:r w:rsidR="004F7C63" w:rsidRPr="00F91DC5">
        <w:rPr>
          <w:sz w:val="22"/>
          <w:szCs w:val="22"/>
        </w:rPr>
        <w:t>;</w:t>
      </w:r>
      <w:r w:rsidR="0049408D" w:rsidRPr="00F91DC5">
        <w:rPr>
          <w:sz w:val="22"/>
          <w:szCs w:val="22"/>
        </w:rPr>
        <w:t xml:space="preserve"> now all of a sudden there’</w:t>
      </w:r>
      <w:r w:rsidR="00AB630B" w:rsidRPr="00F91DC5">
        <w:rPr>
          <w:sz w:val="22"/>
          <w:szCs w:val="22"/>
        </w:rPr>
        <w:t xml:space="preserve">s no </w:t>
      </w:r>
      <w:r w:rsidR="00FD0799" w:rsidRPr="00F91DC5">
        <w:rPr>
          <w:sz w:val="22"/>
          <w:szCs w:val="22"/>
        </w:rPr>
        <w:t>difference</w:t>
      </w:r>
      <w:r w:rsidR="00AB630B" w:rsidRPr="00F91DC5">
        <w:rPr>
          <w:sz w:val="22"/>
          <w:szCs w:val="22"/>
        </w:rPr>
        <w:t>?</w:t>
      </w:r>
      <w:r w:rsidR="0049408D" w:rsidRPr="00F91DC5">
        <w:rPr>
          <w:sz w:val="22"/>
          <w:szCs w:val="22"/>
        </w:rPr>
        <w:t xml:space="preserve"> </w:t>
      </w:r>
      <w:r w:rsidR="004F7C63" w:rsidRPr="00F91DC5">
        <w:rPr>
          <w:sz w:val="22"/>
          <w:szCs w:val="22"/>
        </w:rPr>
        <w:t>Though t</w:t>
      </w:r>
      <w:r w:rsidR="0049408D" w:rsidRPr="00F91DC5">
        <w:rPr>
          <w:sz w:val="22"/>
          <w:szCs w:val="22"/>
        </w:rPr>
        <w:t xml:space="preserve">here are some potential benefits for </w:t>
      </w:r>
      <w:r w:rsidR="002640DF" w:rsidRPr="00F91DC5">
        <w:rPr>
          <w:sz w:val="22"/>
          <w:szCs w:val="22"/>
        </w:rPr>
        <w:t>stored</w:t>
      </w:r>
      <w:r w:rsidR="004F7C63" w:rsidRPr="00F91DC5">
        <w:rPr>
          <w:sz w:val="22"/>
          <w:szCs w:val="22"/>
        </w:rPr>
        <w:t xml:space="preserve"> gates</w:t>
      </w:r>
      <w:r w:rsidR="0049408D" w:rsidRPr="00F91DC5">
        <w:rPr>
          <w:sz w:val="22"/>
          <w:szCs w:val="22"/>
        </w:rPr>
        <w:t xml:space="preserve"> (e.g.</w:t>
      </w:r>
      <w:r w:rsidR="002640DF" w:rsidRPr="00F91DC5">
        <w:rPr>
          <w:sz w:val="22"/>
          <w:szCs w:val="22"/>
        </w:rPr>
        <w:t>,</w:t>
      </w:r>
      <w:r w:rsidR="0049408D" w:rsidRPr="00F91DC5">
        <w:rPr>
          <w:sz w:val="22"/>
          <w:szCs w:val="22"/>
        </w:rPr>
        <w:t xml:space="preserve"> descaling rates), more i</w:t>
      </w:r>
      <w:r w:rsidR="002640DF" w:rsidRPr="00F91DC5">
        <w:rPr>
          <w:sz w:val="22"/>
          <w:szCs w:val="22"/>
        </w:rPr>
        <w:t xml:space="preserve">nfo </w:t>
      </w:r>
      <w:r w:rsidR="004F7C63" w:rsidRPr="00F91DC5">
        <w:rPr>
          <w:sz w:val="22"/>
          <w:szCs w:val="22"/>
        </w:rPr>
        <w:t>is needed before deciding on the operation</w:t>
      </w:r>
      <w:r w:rsidR="002640DF" w:rsidRPr="00F91DC5">
        <w:rPr>
          <w:sz w:val="22"/>
          <w:szCs w:val="22"/>
        </w:rPr>
        <w:t xml:space="preserve"> at IHR. Referenced </w:t>
      </w:r>
      <w:r w:rsidR="0049408D" w:rsidRPr="00F91DC5">
        <w:rPr>
          <w:sz w:val="22"/>
          <w:szCs w:val="22"/>
        </w:rPr>
        <w:t>studies</w:t>
      </w:r>
      <w:r w:rsidR="002640DF" w:rsidRPr="00F91DC5">
        <w:rPr>
          <w:sz w:val="22"/>
          <w:szCs w:val="22"/>
        </w:rPr>
        <w:t xml:space="preserve"> are</w:t>
      </w:r>
      <w:r w:rsidR="0049408D" w:rsidRPr="00F91DC5">
        <w:rPr>
          <w:sz w:val="22"/>
          <w:szCs w:val="22"/>
        </w:rPr>
        <w:t xml:space="preserve"> at other projects at other times of the year. </w:t>
      </w:r>
      <w:r w:rsidR="00D8763C" w:rsidRPr="00F91DC5">
        <w:rPr>
          <w:sz w:val="22"/>
          <w:szCs w:val="22"/>
        </w:rPr>
        <w:tab/>
      </w:r>
    </w:p>
    <w:p w14:paraId="1B6BCC18" w14:textId="57ABED31" w:rsidR="0049408D" w:rsidRPr="00F91DC5" w:rsidRDefault="0049408D" w:rsidP="002640DF">
      <w:pPr>
        <w:pStyle w:val="ListParagraph"/>
        <w:numPr>
          <w:ilvl w:val="0"/>
          <w:numId w:val="34"/>
        </w:numPr>
        <w:spacing w:after="120"/>
        <w:contextualSpacing w:val="0"/>
        <w:rPr>
          <w:sz w:val="22"/>
          <w:szCs w:val="22"/>
        </w:rPr>
      </w:pPr>
      <w:r w:rsidRPr="00F91DC5">
        <w:rPr>
          <w:sz w:val="22"/>
          <w:szCs w:val="22"/>
        </w:rPr>
        <w:t xml:space="preserve">Morrill </w:t>
      </w:r>
      <w:r w:rsidR="004F7C63" w:rsidRPr="00F91DC5">
        <w:rPr>
          <w:sz w:val="22"/>
          <w:szCs w:val="22"/>
        </w:rPr>
        <w:t xml:space="preserve">had </w:t>
      </w:r>
      <w:r w:rsidR="00637783" w:rsidRPr="00F91DC5">
        <w:rPr>
          <w:sz w:val="22"/>
          <w:szCs w:val="22"/>
        </w:rPr>
        <w:t xml:space="preserve">concerns even </w:t>
      </w:r>
      <w:r w:rsidR="004F7C63" w:rsidRPr="00F91DC5">
        <w:rPr>
          <w:sz w:val="22"/>
          <w:szCs w:val="22"/>
        </w:rPr>
        <w:t>for the</w:t>
      </w:r>
      <w:r w:rsidR="00637783" w:rsidRPr="00F91DC5">
        <w:rPr>
          <w:sz w:val="22"/>
          <w:szCs w:val="22"/>
        </w:rPr>
        <w:t xml:space="preserve"> spring</w:t>
      </w:r>
      <w:r w:rsidR="002640DF" w:rsidRPr="00F91DC5">
        <w:rPr>
          <w:sz w:val="22"/>
          <w:szCs w:val="22"/>
        </w:rPr>
        <w:t>. U</w:t>
      </w:r>
      <w:r w:rsidR="00637783" w:rsidRPr="00F91DC5">
        <w:rPr>
          <w:sz w:val="22"/>
          <w:szCs w:val="22"/>
        </w:rPr>
        <w:t xml:space="preserve">sing bulkheads in stored </w:t>
      </w:r>
      <w:r w:rsidR="004F7C63" w:rsidRPr="00F91DC5">
        <w:rPr>
          <w:sz w:val="22"/>
          <w:szCs w:val="22"/>
        </w:rPr>
        <w:t xml:space="preserve">position </w:t>
      </w:r>
      <w:r w:rsidR="00637783" w:rsidRPr="00F91DC5">
        <w:rPr>
          <w:sz w:val="22"/>
          <w:szCs w:val="22"/>
        </w:rPr>
        <w:t xml:space="preserve">would increase mortality and </w:t>
      </w:r>
      <w:r w:rsidR="002640DF" w:rsidRPr="00F91DC5">
        <w:rPr>
          <w:sz w:val="22"/>
          <w:szCs w:val="22"/>
        </w:rPr>
        <w:t>PIT-PH/</w:t>
      </w:r>
      <w:r w:rsidR="00637783" w:rsidRPr="00F91DC5">
        <w:rPr>
          <w:sz w:val="22"/>
          <w:szCs w:val="22"/>
        </w:rPr>
        <w:t xml:space="preserve">latent mortality. </w:t>
      </w:r>
    </w:p>
    <w:p w14:paraId="51EF0A66" w14:textId="06E19141"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Anderson </w:t>
      </w:r>
      <w:r w:rsidR="0051425D" w:rsidRPr="00F91DC5">
        <w:rPr>
          <w:sz w:val="22"/>
          <w:szCs w:val="22"/>
        </w:rPr>
        <w:t>noted</w:t>
      </w:r>
      <w:r w:rsidRPr="00F91DC5">
        <w:rPr>
          <w:sz w:val="22"/>
          <w:szCs w:val="22"/>
        </w:rPr>
        <w:t xml:space="preserve"> this wouldn’t change PIT-PH because they’re still going through </w:t>
      </w:r>
      <w:r w:rsidR="0018252E">
        <w:rPr>
          <w:sz w:val="22"/>
          <w:szCs w:val="22"/>
        </w:rPr>
        <w:t xml:space="preserve">the </w:t>
      </w:r>
      <w:r w:rsidRPr="00F91DC5">
        <w:rPr>
          <w:sz w:val="22"/>
          <w:szCs w:val="22"/>
        </w:rPr>
        <w:t>JBS, which counts as PH passage in that model.</w:t>
      </w:r>
    </w:p>
    <w:p w14:paraId="09B3B46F" w14:textId="662EA529"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Morrill </w:t>
      </w:r>
      <w:r w:rsidR="002640DF" w:rsidRPr="00F91DC5">
        <w:rPr>
          <w:sz w:val="22"/>
          <w:szCs w:val="22"/>
        </w:rPr>
        <w:t xml:space="preserve">clarified he’s </w:t>
      </w:r>
      <w:r w:rsidR="00AB630B" w:rsidRPr="00F91DC5">
        <w:rPr>
          <w:sz w:val="22"/>
          <w:szCs w:val="22"/>
        </w:rPr>
        <w:t>concerned with increased turbine passage.</w:t>
      </w:r>
      <w:r w:rsidR="005A3232" w:rsidRPr="00F91DC5">
        <w:rPr>
          <w:sz w:val="22"/>
          <w:szCs w:val="22"/>
        </w:rPr>
        <w:t xml:space="preserve"> Stored </w:t>
      </w:r>
      <w:r w:rsidR="002640DF" w:rsidRPr="00F91DC5">
        <w:rPr>
          <w:sz w:val="22"/>
          <w:szCs w:val="22"/>
        </w:rPr>
        <w:t xml:space="preserve">position </w:t>
      </w:r>
      <w:r w:rsidR="005A3232" w:rsidRPr="00F91DC5">
        <w:rPr>
          <w:sz w:val="22"/>
          <w:szCs w:val="22"/>
        </w:rPr>
        <w:t>puts more fish through turbines.</w:t>
      </w:r>
    </w:p>
    <w:p w14:paraId="567DB227" w14:textId="24EE14CF"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recalled</w:t>
      </w:r>
      <w:r w:rsidRPr="00F91DC5">
        <w:rPr>
          <w:sz w:val="22"/>
          <w:szCs w:val="22"/>
        </w:rPr>
        <w:t xml:space="preserve"> there are studies that </w:t>
      </w:r>
      <w:r w:rsidR="0018252E">
        <w:rPr>
          <w:sz w:val="22"/>
          <w:szCs w:val="22"/>
        </w:rPr>
        <w:t xml:space="preserve">showed the </w:t>
      </w:r>
      <w:r w:rsidRPr="00F91DC5">
        <w:rPr>
          <w:sz w:val="22"/>
          <w:szCs w:val="22"/>
        </w:rPr>
        <w:t xml:space="preserve">stored </w:t>
      </w:r>
      <w:r w:rsidR="004F7C63" w:rsidRPr="00F91DC5">
        <w:rPr>
          <w:sz w:val="22"/>
          <w:szCs w:val="22"/>
        </w:rPr>
        <w:t xml:space="preserve">position </w:t>
      </w:r>
      <w:r w:rsidRPr="00F91DC5">
        <w:rPr>
          <w:sz w:val="22"/>
          <w:szCs w:val="22"/>
        </w:rPr>
        <w:t xml:space="preserve">has some benefits and better survival at some projects. </w:t>
      </w:r>
      <w:r w:rsidR="00AB630B" w:rsidRPr="00F91DC5">
        <w:rPr>
          <w:sz w:val="22"/>
          <w:szCs w:val="22"/>
        </w:rPr>
        <w:t>But s</w:t>
      </w:r>
      <w:r w:rsidRPr="00F91DC5">
        <w:rPr>
          <w:sz w:val="22"/>
          <w:szCs w:val="22"/>
        </w:rPr>
        <w:t xml:space="preserve">till not enough data to also </w:t>
      </w:r>
      <w:r w:rsidR="00AB630B" w:rsidRPr="00F91DC5">
        <w:rPr>
          <w:sz w:val="22"/>
          <w:szCs w:val="22"/>
        </w:rPr>
        <w:t xml:space="preserve">recommend at IHR. </w:t>
      </w:r>
    </w:p>
    <w:p w14:paraId="095F7855" w14:textId="16E2C3F1" w:rsidR="00AB630B" w:rsidRPr="00F91DC5" w:rsidRDefault="00AB630B" w:rsidP="002640DF">
      <w:pPr>
        <w:pStyle w:val="ListParagraph"/>
        <w:numPr>
          <w:ilvl w:val="0"/>
          <w:numId w:val="34"/>
        </w:numPr>
        <w:spacing w:after="120"/>
        <w:contextualSpacing w:val="0"/>
        <w:rPr>
          <w:sz w:val="22"/>
          <w:szCs w:val="22"/>
        </w:rPr>
      </w:pPr>
      <w:r w:rsidRPr="00F91DC5">
        <w:rPr>
          <w:sz w:val="22"/>
          <w:szCs w:val="22"/>
        </w:rPr>
        <w:t xml:space="preserve">Hockersmith </w:t>
      </w:r>
      <w:r w:rsidR="0051425D" w:rsidRPr="00F91DC5">
        <w:rPr>
          <w:sz w:val="22"/>
          <w:szCs w:val="22"/>
        </w:rPr>
        <w:t>replied that</w:t>
      </w:r>
      <w:r w:rsidRPr="00F91DC5">
        <w:rPr>
          <w:sz w:val="22"/>
          <w:szCs w:val="22"/>
        </w:rPr>
        <w:t xml:space="preserve"> lots of variables have changed since Ledgerwood</w:t>
      </w:r>
      <w:r w:rsidR="004F7C63" w:rsidRPr="00F91DC5">
        <w:rPr>
          <w:sz w:val="22"/>
          <w:szCs w:val="22"/>
        </w:rPr>
        <w:t xml:space="preserve"> – structur</w:t>
      </w:r>
      <w:r w:rsidRPr="00F91DC5">
        <w:rPr>
          <w:sz w:val="22"/>
          <w:szCs w:val="22"/>
        </w:rPr>
        <w:t xml:space="preserve">al, operational, and earlier run timing. All </w:t>
      </w:r>
      <w:r w:rsidR="002640DF" w:rsidRPr="00F91DC5">
        <w:rPr>
          <w:sz w:val="22"/>
          <w:szCs w:val="22"/>
        </w:rPr>
        <w:t>of these</w:t>
      </w:r>
      <w:r w:rsidR="004F7C63" w:rsidRPr="00F91DC5">
        <w:rPr>
          <w:sz w:val="22"/>
          <w:szCs w:val="22"/>
        </w:rPr>
        <w:t xml:space="preserve"> also</w:t>
      </w:r>
      <w:r w:rsidR="002640DF" w:rsidRPr="00F91DC5">
        <w:rPr>
          <w:sz w:val="22"/>
          <w:szCs w:val="22"/>
        </w:rPr>
        <w:t xml:space="preserve"> impact what </w:t>
      </w:r>
      <w:r w:rsidRPr="00F91DC5">
        <w:rPr>
          <w:sz w:val="22"/>
          <w:szCs w:val="22"/>
        </w:rPr>
        <w:t xml:space="preserve">temperature </w:t>
      </w:r>
      <w:r w:rsidR="002640DF" w:rsidRPr="00F91DC5">
        <w:rPr>
          <w:sz w:val="22"/>
          <w:szCs w:val="22"/>
        </w:rPr>
        <w:t xml:space="preserve">fish </w:t>
      </w:r>
      <w:r w:rsidRPr="00F91DC5">
        <w:rPr>
          <w:sz w:val="22"/>
          <w:szCs w:val="22"/>
        </w:rPr>
        <w:t xml:space="preserve">experience. </w:t>
      </w:r>
    </w:p>
    <w:p w14:paraId="53FBA916" w14:textId="77777777" w:rsidR="001F5F91" w:rsidRDefault="001F5F91" w:rsidP="002640DF">
      <w:pPr>
        <w:pStyle w:val="ListParagraph"/>
        <w:numPr>
          <w:ilvl w:val="0"/>
          <w:numId w:val="34"/>
        </w:numPr>
        <w:spacing w:after="120"/>
        <w:contextualSpacing w:val="0"/>
        <w:rPr>
          <w:sz w:val="22"/>
          <w:szCs w:val="22"/>
        </w:rPr>
      </w:pPr>
      <w:r w:rsidRPr="00F91DC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7892855C" w:rsidR="00580371" w:rsidRDefault="00580371" w:rsidP="002640DF">
      <w:pPr>
        <w:pStyle w:val="ListParagraph"/>
        <w:numPr>
          <w:ilvl w:val="0"/>
          <w:numId w:val="34"/>
        </w:numPr>
        <w:spacing w:after="120"/>
        <w:contextualSpacing w:val="0"/>
        <w:rPr>
          <w:sz w:val="22"/>
          <w:szCs w:val="22"/>
          <w:highlight w:val="yellow"/>
        </w:rPr>
      </w:pPr>
      <w:r w:rsidRPr="001F5F91">
        <w:rPr>
          <w:sz w:val="22"/>
          <w:szCs w:val="22"/>
          <w:highlight w:val="yellow"/>
        </w:rPr>
        <w:t>PENDING further review and more discussion at NWW FFDWRG (July 23) and next FPOM</w:t>
      </w:r>
      <w:r w:rsidR="000738D5" w:rsidRPr="001F5F91">
        <w:rPr>
          <w:sz w:val="22"/>
          <w:szCs w:val="22"/>
          <w:highlight w:val="yellow"/>
        </w:rPr>
        <w:t xml:space="preserve"> (Aug</w:t>
      </w:r>
      <w:r w:rsidR="0018252E" w:rsidRPr="001F5F91">
        <w:rPr>
          <w:sz w:val="22"/>
          <w:szCs w:val="22"/>
          <w:highlight w:val="yellow"/>
        </w:rPr>
        <w:t>ust</w:t>
      </w:r>
      <w:r w:rsidR="000738D5" w:rsidRPr="001F5F91">
        <w:rPr>
          <w:sz w:val="22"/>
          <w:szCs w:val="22"/>
          <w:highlight w:val="yellow"/>
        </w:rPr>
        <w:t xml:space="preserve"> 13)</w:t>
      </w:r>
      <w:r w:rsidRPr="001F5F91">
        <w:rPr>
          <w:sz w:val="22"/>
          <w:szCs w:val="22"/>
          <w:highlight w:val="yellow"/>
        </w:rPr>
        <w:t xml:space="preserve">. </w:t>
      </w:r>
    </w:p>
    <w:p w14:paraId="4FA8CF9E" w14:textId="77777777" w:rsidR="00331329" w:rsidRDefault="00331329" w:rsidP="00331329">
      <w:pPr>
        <w:rPr>
          <w:sz w:val="22"/>
          <w:szCs w:val="22"/>
          <w:highlight w:val="yellow"/>
        </w:rPr>
      </w:pPr>
    </w:p>
    <w:p w14:paraId="49FD6070" w14:textId="163C8A8C" w:rsidR="009E2CD8" w:rsidRDefault="00FF2A43" w:rsidP="00637783">
      <w:pPr>
        <w:spacing w:before="360"/>
      </w:pPr>
      <w:r w:rsidRPr="00F26CAB">
        <w:rPr>
          <w:rFonts w:ascii="Times New Roman Bold" w:hAnsi="Times New Roman Bold"/>
          <w:b/>
          <w:caps/>
          <w:u w:val="single"/>
        </w:rPr>
        <w:t>Record of Final Action</w:t>
      </w:r>
      <w:r w:rsidRPr="009C6814">
        <w:t>:</w:t>
      </w:r>
      <w:r w:rsidR="00FA6501">
        <w:t xml:space="preserve"> </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8"/>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P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headgates or emergency operating headgates.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headgates within the Ice Harbor turbine intakes were replaced with multistage hydraulic cylinders. These multistage cylinders were installed to allow for storage of the headgates in what is called the “raised” position (Raised Operating Gate; ROG) versus the original stored position (Stored Operating Gate; SOG); these also maintain the USACE required ten minute closure capability. Based on studies conducted at McNary in the late 1980’s, it was believed that raising the headgates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headgates in the raised position while maintaining the 10-minute closure requirement.  The headgates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5A7929">
        <w:rPr>
          <w:rFonts w:asciiTheme="minorHAnsi" w:eastAsiaTheme="minorHAnsi" w:hAnsiTheme="minorHAnsi" w:cstheme="minorBidi"/>
          <w:i/>
          <w:sz w:val="22"/>
          <w:szCs w:val="22"/>
          <w:u w:val="single"/>
        </w:rPr>
        <w:t>Studies were conducted at McNary, Little Goose and Lower Monumental Dams to estimate the FGE of turbine operations with the headgates in original “stored” position versus the “raised” position.  The results for all three studies showed no significant difference in FGE between the two gate positions.</w:t>
      </w:r>
      <w:r w:rsidRPr="00102DF0">
        <w:rPr>
          <w:rFonts w:asciiTheme="minorHAnsi" w:eastAsiaTheme="minorHAnsi" w:hAnsiTheme="minorHAnsi" w:cstheme="minorBidi"/>
          <w:sz w:val="22"/>
          <w:szCs w:val="22"/>
        </w:rPr>
        <w:t xml:space="preserve">  Since the turbine intake screens installed at McNary and Little Goose dams are the extended length submersible bar screens (ESBS) and are similar to those at the Lower Granite dam, the study results were applied to Lower Granite, and the headgates of these three dams have been or will be returned to their original stored position with 10 minute closure capability.  </w:t>
      </w:r>
      <w:r w:rsidRPr="00BD0B4D">
        <w:rPr>
          <w:rFonts w:asciiTheme="minorHAnsi" w:eastAsiaTheme="minorHAnsi" w:hAnsiTheme="minorHAnsi" w:cstheme="minorBidi"/>
          <w:b/>
          <w:i/>
          <w:sz w:val="22"/>
          <w:szCs w:val="22"/>
          <w:u w:val="single"/>
        </w:rPr>
        <w:t>Since Lower Monumental has the shorter submerged traveling screens (STS) and not the longer ESBSs a third FGE study of headgate “stored” versus headgate “raised” was performed at Lower Monumental Dam</w:t>
      </w:r>
      <w:r w:rsidRPr="00102DF0">
        <w:rPr>
          <w:rFonts w:asciiTheme="minorHAnsi" w:eastAsiaTheme="minorHAnsi" w:hAnsiTheme="minorHAnsi" w:cstheme="minorBidi"/>
          <w:sz w:val="22"/>
          <w:szCs w:val="22"/>
        </w:rPr>
        <w:t xml:space="preserve">.  </w:t>
      </w:r>
      <w:r w:rsidRPr="00BD0B4D">
        <w:rPr>
          <w:rFonts w:asciiTheme="minorHAnsi" w:eastAsiaTheme="minorHAnsi" w:hAnsiTheme="minorHAnsi" w:cstheme="minorBidi"/>
          <w:b/>
          <w:i/>
          <w:sz w:val="22"/>
          <w:szCs w:val="22"/>
          <w:highlight w:val="yellow"/>
          <w:u w:val="single"/>
        </w:rPr>
        <w:t>This study also showed no significant difference in FGE between the two gate positions.</w:t>
      </w:r>
      <w:r w:rsidRPr="00102DF0">
        <w:rPr>
          <w:rFonts w:asciiTheme="minorHAnsi" w:eastAsiaTheme="minorHAnsi" w:hAnsiTheme="minorHAnsi" w:cstheme="minorBidi"/>
          <w:sz w:val="22"/>
          <w:szCs w:val="22"/>
        </w:rPr>
        <w:t xml:space="preserve">  Since Ice Harbor is similar in design to Lower Monumental and has the same STS screens installed, </w:t>
      </w:r>
      <w:r w:rsidRPr="00BD0B4D">
        <w:rPr>
          <w:rFonts w:asciiTheme="minorHAnsi" w:eastAsiaTheme="minorHAnsi" w:hAnsiTheme="minorHAnsi" w:cstheme="minorBidi"/>
          <w:b/>
          <w:i/>
          <w:color w:val="FF0000"/>
          <w:sz w:val="22"/>
          <w:szCs w:val="22"/>
          <w:highlight w:val="yellow"/>
          <w:u w:val="single"/>
        </w:rPr>
        <w:t>it is expected the headgates’ position whether “raised” or “stored” has little to no significant influence on FGE</w:t>
      </w:r>
      <w:r w:rsidRPr="00102DF0">
        <w:rPr>
          <w:rFonts w:asciiTheme="minorHAnsi" w:eastAsiaTheme="minorHAnsi" w:hAnsiTheme="minorHAnsi" w:cstheme="minorBidi"/>
          <w:sz w:val="22"/>
          <w:szCs w:val="22"/>
        </w:rPr>
        <w:t xml:space="preserve">.  The recommendation by the PDT is to replace the failing multistage operating gate cylinders at Ice Harbor with lower cost single stage cylinders which would return the headgates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(VBSs)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Ledgerwood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r w:rsidRPr="003870A5">
                              <w:rPr>
                                <w:b/>
                              </w:rPr>
                              <w:t>SOG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r w:rsidRPr="003870A5">
                        <w:rPr>
                          <w:b/>
                        </w:rPr>
                        <w:t>SOG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r>
                              <w:rPr>
                                <w:b/>
                              </w:rPr>
                              <w:t>R</w:t>
                            </w:r>
                            <w:r w:rsidRPr="003870A5">
                              <w:rPr>
                                <w: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r>
                        <w:rPr>
                          <w:b/>
                        </w:rPr>
                        <w:t>R</w:t>
                      </w:r>
                      <w:r w:rsidRPr="003870A5">
                        <w:rPr>
                          <w:b/>
                        </w:rPr>
                        <w:t>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(SOG) in red (left) and Raised Operating Gate (ROG) in red (right) with STS screens (~20ft in length). (From Ham and Titzler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Recent re-evaluations of FGE using split-beam sonar at McNary, Lower Monumental, and Little Goose dams found no significant decrease to FGE from lowering the operating gates to the original stored operating position (Ham et al. 2013, 2017, 2020).</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Ham and Titzler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hydropower production is needed most (Ham and Titzler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D3F52F7" w:rsidR="00102DF0" w:rsidRDefault="00102DF0" w:rsidP="00102DF0">
      <w:pPr>
        <w:spacing w:after="160"/>
        <w:rPr>
          <w:rFonts w:asciiTheme="minorHAnsi" w:eastAsiaTheme="minorHAnsi" w:hAnsiTheme="minorHAnsi" w:cstheme="minorBidi"/>
          <w:sz w:val="22"/>
          <w:szCs w:val="22"/>
        </w:rPr>
      </w:pPr>
      <w:r w:rsidRPr="00BD0B4D">
        <w:rPr>
          <w:rFonts w:asciiTheme="minorHAnsi" w:eastAsiaTheme="minorHAnsi" w:hAnsiTheme="minorHAnsi" w:cstheme="minorBidi"/>
          <w:b/>
          <w:i/>
          <w:sz w:val="22"/>
          <w:szCs w:val="22"/>
          <w:highlight w:val="yellow"/>
          <w:u w:val="single"/>
        </w:rPr>
        <w:t>Ham and Titzler (2020) found that estimated spring migrants FGE for the stored operating gate (SOG) treatment was not significantly (P=0.47) lower (81.8% vs. 82.6%) than for the raised operating gate (ROG) treatment</w:t>
      </w:r>
      <w:r w:rsidRPr="00102DF0">
        <w:rPr>
          <w:rFonts w:asciiTheme="minorHAnsi" w:eastAsiaTheme="minorHAnsi" w:hAnsiTheme="minorHAnsi" w:cstheme="minorBidi"/>
          <w:sz w:val="22"/>
          <w:szCs w:val="22"/>
        </w:rPr>
        <w:t xml:space="preserve">. During the summer study period, FGE for the ROG treatment was also not significantly (P=0.87) different (80.9% vs. 80.7%) from the SOG treatment. During this study no mortality events in the gatewells or orifices were seen (Chuck Barnes, Personal Communication 6/29/2020).  </w:t>
      </w:r>
    </w:p>
    <w:p w14:paraId="0E95F53A" w14:textId="43919E54" w:rsidR="004C31B7" w:rsidRPr="00FE311D" w:rsidRDefault="00CD1142" w:rsidP="00102DF0">
      <w:pPr>
        <w:spacing w:after="160"/>
        <w:rPr>
          <w:rFonts w:asciiTheme="minorHAnsi" w:eastAsiaTheme="minorHAnsi" w:hAnsiTheme="minorHAnsi" w:cstheme="minorBidi"/>
          <w:sz w:val="22"/>
          <w:szCs w:val="22"/>
          <w:u w:val="single"/>
        </w:rPr>
      </w:pPr>
      <w:r w:rsidRPr="00FE311D">
        <w:rPr>
          <w:rFonts w:asciiTheme="minorHAnsi" w:eastAsiaTheme="minorHAnsi" w:hAnsiTheme="minorHAnsi" w:cstheme="minorBidi"/>
          <w:b/>
          <w:i/>
          <w:color w:val="2E74B5" w:themeColor="accent1" w:themeShade="BF"/>
          <w:sz w:val="22"/>
          <w:szCs w:val="22"/>
          <w:u w:val="single"/>
        </w:rPr>
        <w:t xml:space="preserve">Cfm note:  However, the point estimates and confidence limits presented in the PNNL report when applied to FGE and spring migrants route passage survival estimates means that more spring migrants will pass through the turbines with the gates in the stored position versus the raised position.  Expanding this to Ice Harbor, ignores the small negative impact reported at Lower Monumental Dam in the PNNL report.  In </w:t>
      </w:r>
      <w:r w:rsidR="00F11F2B" w:rsidRPr="00FE311D">
        <w:rPr>
          <w:rFonts w:asciiTheme="minorHAnsi" w:eastAsiaTheme="minorHAnsi" w:hAnsiTheme="minorHAnsi" w:cstheme="minorBidi"/>
          <w:b/>
          <w:i/>
          <w:color w:val="2E74B5" w:themeColor="accent1" w:themeShade="BF"/>
          <w:sz w:val="22"/>
          <w:szCs w:val="22"/>
          <w:u w:val="single"/>
        </w:rPr>
        <w:t>WDFW’s opinion this need</w:t>
      </w:r>
      <w:r w:rsidR="00FE311D" w:rsidRPr="00FE311D">
        <w:rPr>
          <w:rFonts w:asciiTheme="minorHAnsi" w:eastAsiaTheme="minorHAnsi" w:hAnsiTheme="minorHAnsi" w:cstheme="minorBidi"/>
          <w:b/>
          <w:i/>
          <w:color w:val="2E74B5" w:themeColor="accent1" w:themeShade="BF"/>
          <w:sz w:val="22"/>
          <w:szCs w:val="22"/>
          <w:u w:val="single"/>
        </w:rPr>
        <w:t>s</w:t>
      </w:r>
      <w:r w:rsidR="00F11F2B" w:rsidRPr="00FE311D">
        <w:rPr>
          <w:rFonts w:asciiTheme="minorHAnsi" w:eastAsiaTheme="minorHAnsi" w:hAnsiTheme="minorHAnsi" w:cstheme="minorBidi"/>
          <w:b/>
          <w:i/>
          <w:color w:val="2E74B5" w:themeColor="accent1" w:themeShade="BF"/>
          <w:sz w:val="22"/>
          <w:szCs w:val="22"/>
          <w:u w:val="single"/>
        </w:rPr>
        <w:t xml:space="preserve"> to be acknowledged in the white paper and change form.  We understand the COE’s rationale for their recommendation but cannot support the change form that does not specifically acknowledge</w:t>
      </w:r>
      <w:r w:rsidR="00FE311D" w:rsidRPr="00FE311D">
        <w:rPr>
          <w:rFonts w:asciiTheme="minorHAnsi" w:eastAsiaTheme="minorHAnsi" w:hAnsiTheme="minorHAnsi" w:cstheme="minorBidi"/>
          <w:b/>
          <w:i/>
          <w:color w:val="2E74B5" w:themeColor="accent1" w:themeShade="BF"/>
          <w:sz w:val="22"/>
          <w:szCs w:val="22"/>
          <w:u w:val="single"/>
        </w:rPr>
        <w:t xml:space="preserve"> a </w:t>
      </w:r>
      <w:r w:rsidR="00F11F2B" w:rsidRPr="00FE311D">
        <w:rPr>
          <w:rFonts w:asciiTheme="minorHAnsi" w:eastAsiaTheme="minorHAnsi" w:hAnsiTheme="minorHAnsi" w:cstheme="minorBidi"/>
          <w:b/>
          <w:i/>
          <w:color w:val="2E74B5" w:themeColor="accent1" w:themeShade="BF"/>
          <w:sz w:val="22"/>
          <w:szCs w:val="22"/>
          <w:u w:val="single"/>
        </w:rPr>
        <w:t xml:space="preserve">potential negative biological impact for spring migrants at Ice Harbor, however small.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Titzler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Titzler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Ice Harbor Dam operating gates are currently maintained in a raised operating position using multistage telescoping cylinders that need to be replaced due to age and condition to maintain operational reliability and safety.  Starting around 2011, several Trouble Reports (TRs)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7B2D2EFB"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SOG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r w:rsidRPr="007C1194">
              <w:rPr>
                <w:b/>
                <w:sz w:val="20"/>
                <w:szCs w:val="20"/>
              </w:rPr>
              <w:t>O&amp;M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28F2AD50"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p w14:paraId="00EF94B5" w14:textId="77777777" w:rsidR="00102DF0" w:rsidRPr="007C1194" w:rsidRDefault="00102DF0" w:rsidP="00102DF0">
            <w:pPr>
              <w:rPr>
                <w:sz w:val="20"/>
                <w:szCs w:val="20"/>
              </w:rPr>
            </w:pP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r w:rsidRPr="007C1194">
              <w:rPr>
                <w:sz w:val="20"/>
                <w:szCs w:val="20"/>
              </w:rPr>
              <w:lastRenderedPageBreak/>
              <w:t>Refurb.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 that maintains ROG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102DF0" w:rsidRDefault="00102DF0" w:rsidP="00102DF0">
      <w:pPr>
        <w:spacing w:after="160"/>
        <w:rPr>
          <w:rFonts w:asciiTheme="minorHAnsi" w:eastAsiaTheme="minorHAnsi" w:hAnsiTheme="minorHAnsi" w:cstheme="minorBidi"/>
          <w:sz w:val="22"/>
          <w:szCs w:val="22"/>
        </w:rPr>
      </w:pPr>
      <w:r w:rsidRPr="00BD0B4D">
        <w:rPr>
          <w:rFonts w:asciiTheme="minorHAnsi" w:eastAsiaTheme="minorHAnsi" w:hAnsiTheme="minorHAnsi" w:cstheme="minorBidi"/>
          <w:b/>
          <w:i/>
          <w:sz w:val="22"/>
          <w:szCs w:val="22"/>
          <w:highlight w:val="yellow"/>
          <w:u w:val="single"/>
        </w:rPr>
        <w:t>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w:t>
      </w:r>
      <w:r w:rsidRPr="00BD0B4D">
        <w:rPr>
          <w:rFonts w:asciiTheme="minorHAnsi" w:eastAsiaTheme="minorHAnsi" w:hAnsiTheme="minorHAnsi" w:cstheme="minorBidi"/>
          <w:sz w:val="22"/>
          <w:szCs w:val="22"/>
          <w:highlight w:val="yellow"/>
        </w:rPr>
        <w:t>.</w:t>
      </w:r>
      <w:r w:rsidRPr="00102DF0">
        <w:rPr>
          <w:rFonts w:asciiTheme="minorHAnsi" w:eastAsiaTheme="minorHAnsi" w:hAnsiTheme="minorHAnsi" w:cstheme="minorBidi"/>
          <w:sz w:val="22"/>
          <w:szCs w:val="22"/>
        </w:rPr>
        <w:t xml:space="preserve"> Intake elevation differences show both intakes are close in height: Lower Monumental at 75.78 ft and Ice Harbor at 73.13 ft.  Ice Harbor and Lower Monumental have similar distributor elevations (19 ft and 19.5 ft) from the intake floor. The operating gates at Ice Harbor and Lower Monumental are located approximately 74 ft and 65 ft from the distributor respectively.  </w:t>
      </w:r>
      <w:r w:rsidRPr="00BD0B4D">
        <w:rPr>
          <w:rFonts w:asciiTheme="minorHAnsi" w:eastAsiaTheme="minorHAnsi" w:hAnsiTheme="minorHAnsi" w:cstheme="minorBidi"/>
          <w:b/>
          <w:i/>
          <w:sz w:val="22"/>
          <w:szCs w:val="22"/>
          <w:highlight w:val="yellow"/>
        </w:rPr>
        <w:t>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w:t>
      </w:r>
      <w:r w:rsidRPr="00102DF0">
        <w:rPr>
          <w:rFonts w:asciiTheme="minorHAnsi" w:eastAsiaTheme="minorHAnsi" w:hAnsiTheme="minorHAnsi" w:cstheme="minorBidi"/>
          <w:sz w:val="22"/>
          <w:szCs w:val="22"/>
        </w:rPr>
        <w:t xml:space="preserve">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2009a. Synthesis of Biological Research on Juvenile Fish Passage and Survival 1990-2006: Lower Granite Dam. PNWD-4059 Final, Battelle-Pacific Northwest Division, Richland, WA.</w:t>
      </w:r>
    </w:p>
    <w:p w14:paraId="7D7F74A5"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2009b. Synthesis of Biological Research on Juvenile Fish Passage and Survival 1990-2006: Lower Monumental Dam. PNWD-4061 Final, Battelle-Pacific Northwest Division, Richland, WA.</w:t>
      </w:r>
    </w:p>
    <w:p w14:paraId="1DAADFF2"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2009c. Synthesis of Biological Research on Juvenile Fish Passage and Survival 1990-2006: McNary Dam. PNWD-4035 Final, Battelle-Pacific Northwest Division, Richland, WA.</w:t>
      </w:r>
    </w:p>
    <w:p w14:paraId="3F5E0016"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2009d. Synthesis of Biological Research on Juvenile Fish Passage and Survival 1990-2006: Ice Harbor Dam. PNWD-3976. Final, Battelle-Pacific Northwest Division, Richland, WA.</w:t>
      </w:r>
    </w:p>
    <w:p w14:paraId="1436162D"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KD, PS Titzler and DM Trott.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lastRenderedPageBreak/>
        <w:t>Ham KD, PS Titzler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and PS Titzler.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Krcma RF, MH Gessel, and FJ Ossiander.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pPr>
      <w:r w:rsidRPr="007C1194">
        <w:rPr>
          <w:rFonts w:asciiTheme="minorHAnsi" w:eastAsiaTheme="minorHAnsi" w:hAnsiTheme="minorHAnsi" w:cstheme="minorBidi"/>
          <w:sz w:val="20"/>
          <w:szCs w:val="20"/>
        </w:rPr>
        <w:t>Ledgerwood, RD, WT Norman, GA Swan, and JG Williams. 1987. Fish Guiding Efficiency of Submersible Traveling Screens at Lower Granite and Little Goose Dams1986. Annual Report to U.S. Army Corps of Engineers by National Marine Fisheries Service, 2725 Montlake Boulevard East, Seattle, WA 98112. Delivery Order DACW68-84-H-0034.</w:t>
      </w:r>
    </w:p>
    <w:sectPr w:rsidR="00102DF0" w:rsidSect="003B27D8">
      <w:headerReference w:type="default" r:id="rId11"/>
      <w:head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60A48" w14:textId="77777777" w:rsidR="008F11CB" w:rsidRDefault="008F11CB" w:rsidP="0007427B">
      <w:r>
        <w:separator/>
      </w:r>
    </w:p>
  </w:endnote>
  <w:endnote w:type="continuationSeparator" w:id="0">
    <w:p w14:paraId="1106CA75" w14:textId="77777777" w:rsidR="008F11CB" w:rsidRDefault="008F11C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3B27D8">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D851AF">
      <w:rPr>
        <w:rFonts w:ascii="Calibri" w:hAnsi="Calibri" w:cs="Calibri"/>
        <w:b/>
        <w:noProof/>
        <w:sz w:val="20"/>
        <w:szCs w:val="20"/>
      </w:rPr>
      <w:t>8</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D851AF">
      <w:rPr>
        <w:rFonts w:ascii="Calibri" w:hAnsi="Calibri" w:cs="Calibri"/>
        <w:b/>
        <w:noProof/>
        <w:sz w:val="20"/>
        <w:szCs w:val="20"/>
      </w:rPr>
      <w:t>8</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AC770" w14:textId="77777777" w:rsidR="008F11CB" w:rsidRDefault="008F11CB" w:rsidP="0007427B">
      <w:r>
        <w:separator/>
      </w:r>
    </w:p>
  </w:footnote>
  <w:footnote w:type="continuationSeparator" w:id="0">
    <w:p w14:paraId="06DD43C7" w14:textId="77777777" w:rsidR="008F11CB" w:rsidRDefault="008F11C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(June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9"/>
  </w:num>
  <w:num w:numId="2">
    <w:abstractNumId w:val="11"/>
  </w:num>
  <w:num w:numId="3">
    <w:abstractNumId w:val="30"/>
  </w:num>
  <w:num w:numId="4">
    <w:abstractNumId w:val="19"/>
  </w:num>
  <w:num w:numId="5">
    <w:abstractNumId w:val="21"/>
  </w:num>
  <w:num w:numId="6">
    <w:abstractNumId w:val="15"/>
  </w:num>
  <w:num w:numId="7">
    <w:abstractNumId w:val="18"/>
  </w:num>
  <w:num w:numId="8">
    <w:abstractNumId w:val="33"/>
  </w:num>
  <w:num w:numId="9">
    <w:abstractNumId w:val="32"/>
  </w:num>
  <w:num w:numId="10">
    <w:abstractNumId w:val="22"/>
  </w:num>
  <w:num w:numId="11">
    <w:abstractNumId w:val="31"/>
  </w:num>
  <w:num w:numId="12">
    <w:abstractNumId w:val="5"/>
  </w:num>
  <w:num w:numId="13">
    <w:abstractNumId w:val="12"/>
  </w:num>
  <w:num w:numId="14">
    <w:abstractNumId w:val="8"/>
  </w:num>
  <w:num w:numId="15">
    <w:abstractNumId w:val="1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4"/>
  </w:num>
  <w:num w:numId="21">
    <w:abstractNumId w:val="13"/>
  </w:num>
  <w:num w:numId="22">
    <w:abstractNumId w:val="27"/>
  </w:num>
  <w:num w:numId="23">
    <w:abstractNumId w:val="17"/>
  </w:num>
  <w:num w:numId="24">
    <w:abstractNumId w:val="3"/>
  </w:num>
  <w:num w:numId="25">
    <w:abstractNumId w:val="25"/>
  </w:num>
  <w:num w:numId="26">
    <w:abstractNumId w:val="9"/>
  </w:num>
  <w:num w:numId="27">
    <w:abstractNumId w:val="28"/>
  </w:num>
  <w:num w:numId="28">
    <w:abstractNumId w:val="20"/>
  </w:num>
  <w:num w:numId="29">
    <w:abstractNumId w:val="0"/>
  </w:num>
  <w:num w:numId="30">
    <w:abstractNumId w:val="1"/>
  </w:num>
  <w:num w:numId="31">
    <w:abstractNumId w:val="23"/>
  </w:num>
  <w:num w:numId="32">
    <w:abstractNumId w:val="16"/>
  </w:num>
  <w:num w:numId="33">
    <w:abstractNumId w:val="6"/>
  </w:num>
  <w:num w:numId="3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1B7"/>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A7929"/>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66FF"/>
    <w:rsid w:val="008D74DB"/>
    <w:rsid w:val="008D7AD8"/>
    <w:rsid w:val="008E5932"/>
    <w:rsid w:val="008F0119"/>
    <w:rsid w:val="008F11CB"/>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4CB8"/>
    <w:rsid w:val="00B86D4D"/>
    <w:rsid w:val="00B87FF2"/>
    <w:rsid w:val="00B9011D"/>
    <w:rsid w:val="00B92BA5"/>
    <w:rsid w:val="00B95E7F"/>
    <w:rsid w:val="00B96310"/>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0B4D"/>
    <w:rsid w:val="00BD1EBA"/>
    <w:rsid w:val="00BD2CD1"/>
    <w:rsid w:val="00BD3550"/>
    <w:rsid w:val="00BD42AB"/>
    <w:rsid w:val="00BD6108"/>
    <w:rsid w:val="00BD7E1A"/>
    <w:rsid w:val="00BE00A1"/>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1142"/>
    <w:rsid w:val="00CD20B0"/>
    <w:rsid w:val="00CD5090"/>
    <w:rsid w:val="00CD704F"/>
    <w:rsid w:val="00CE00D7"/>
    <w:rsid w:val="00CE0746"/>
    <w:rsid w:val="00CE1096"/>
    <w:rsid w:val="00CE1A5D"/>
    <w:rsid w:val="00CE2F2C"/>
    <w:rsid w:val="00CE6461"/>
    <w:rsid w:val="00CE7461"/>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2A7A"/>
    <w:rsid w:val="00D33451"/>
    <w:rsid w:val="00D33983"/>
    <w:rsid w:val="00D35B1C"/>
    <w:rsid w:val="00D36635"/>
    <w:rsid w:val="00D36DAD"/>
    <w:rsid w:val="00D37213"/>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1AF"/>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DB2"/>
    <w:rsid w:val="00E33E9F"/>
    <w:rsid w:val="00E360BE"/>
    <w:rsid w:val="00E36739"/>
    <w:rsid w:val="00E37DF8"/>
    <w:rsid w:val="00E402DD"/>
    <w:rsid w:val="00E41AAB"/>
    <w:rsid w:val="00E422AF"/>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1F2B"/>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11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D272B-7AD8-4E7D-A3EB-E0323006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21560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Kovalchuk, Erin H CIV USARMY CENWP (US)</cp:lastModifiedBy>
  <cp:revision>2</cp:revision>
  <cp:lastPrinted>2015-05-12T18:21:00Z</cp:lastPrinted>
  <dcterms:created xsi:type="dcterms:W3CDTF">2020-08-13T14:59:00Z</dcterms:created>
  <dcterms:modified xsi:type="dcterms:W3CDTF">2020-08-13T14:59:00Z</dcterms:modified>
</cp:coreProperties>
</file>